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E3" w:rsidRPr="002B28D3" w:rsidRDefault="00CC0BE3" w:rsidP="00A5373D">
      <w:pPr>
        <w:spacing w:after="0"/>
        <w:rPr>
          <w:sz w:val="16"/>
          <w:szCs w:val="16"/>
        </w:rPr>
      </w:pPr>
    </w:p>
    <w:p w:rsidR="00CC0BE3" w:rsidRDefault="00CC0BE3" w:rsidP="00A5373D">
      <w:pPr>
        <w:sectPr w:rsidR="00CC0BE3" w:rsidSect="00044B5F">
          <w:headerReference w:type="default" r:id="rId8"/>
          <w:footerReference w:type="default" r:id="rId9"/>
          <w:pgSz w:w="12240" w:h="15840"/>
          <w:pgMar w:top="1886" w:right="720" w:bottom="1008" w:left="720" w:header="720" w:footer="720" w:gutter="0"/>
          <w:cols w:space="720"/>
          <w:docGrid w:linePitch="360"/>
        </w:sectPr>
      </w:pPr>
    </w:p>
    <w:p w:rsidR="00CC0BE3" w:rsidRPr="00985375" w:rsidRDefault="005C09F2" w:rsidP="00A5373D">
      <w:pPr>
        <w:pStyle w:val="Heading1"/>
      </w:pPr>
      <w:r w:rsidRPr="00985375">
        <w:lastRenderedPageBreak/>
        <w:t>THE PROJECT</w:t>
      </w:r>
    </w:p>
    <w:p w:rsidR="005C09F2" w:rsidRDefault="007372C7" w:rsidP="00A5373D">
      <w:r>
        <w:rPr>
          <w:noProof/>
        </w:rPr>
        <w:drawing>
          <wp:anchor distT="0" distB="0" distL="114300" distR="114300" simplePos="0" relativeHeight="251660288" behindDoc="1" locked="0" layoutInCell="1" allowOverlap="1" wp14:anchorId="5CDAE7F1" wp14:editId="5500E7B5">
            <wp:simplePos x="0" y="0"/>
            <wp:positionH relativeFrom="column">
              <wp:posOffset>0</wp:posOffset>
            </wp:positionH>
            <wp:positionV relativeFrom="paragraph">
              <wp:posOffset>1628775</wp:posOffset>
            </wp:positionV>
            <wp:extent cx="320040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471" y="21150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9F2">
        <w:t>Pe</w:t>
      </w:r>
      <w:r w:rsidR="00985375">
        <w:t>rioEndoscopy</w:t>
      </w:r>
      <w:r w:rsidR="005C09F2">
        <w:t xml:space="preserve"> is a new Arizona Limited Liability Company</w:t>
      </w:r>
      <w:r w:rsidR="00985375">
        <w:t xml:space="preserve"> (New Commercial Enterprise)</w:t>
      </w:r>
      <w:r w:rsidR="005C09F2">
        <w:t xml:space="preserve"> that will design, manufacture and market a unique Dental Operative Unit (DOU) system that will provide dental clinicians the ability to SEE below</w:t>
      </w:r>
      <w:r>
        <w:t xml:space="preserve"> the gum-line as they remove</w:t>
      </w:r>
      <w:r w:rsidR="005C09F2">
        <w:t xml:space="preserve"> </w:t>
      </w:r>
      <w:r w:rsidR="00985375">
        <w:t xml:space="preserve">bacteria infested plaque. This procedure, known as Visual-SRP, is as effective as gingival flap surgery </w:t>
      </w:r>
      <w:r w:rsidR="00044B5F">
        <w:t>but without the pain and high costs of surgery.</w:t>
      </w:r>
      <w:r w:rsidR="00985375">
        <w:t xml:space="preserve"> </w:t>
      </w:r>
    </w:p>
    <w:p w:rsidR="007372C7" w:rsidRPr="007372C7" w:rsidRDefault="007372C7" w:rsidP="00EB67B4">
      <w:pPr>
        <w:pStyle w:val="Subtitle"/>
      </w:pPr>
      <w:r w:rsidRPr="007372C7">
        <w:t>Gingival (Gum) Flap Surgery</w:t>
      </w:r>
      <w:bookmarkStart w:id="0" w:name="_GoBack"/>
      <w:bookmarkEnd w:id="0"/>
    </w:p>
    <w:p w:rsidR="007372C7" w:rsidRPr="00EB67B4" w:rsidRDefault="007372C7" w:rsidP="00EB67B4">
      <w:pPr>
        <w:pStyle w:val="Subtitle"/>
      </w:pPr>
      <w:r w:rsidRPr="00EB67B4">
        <w:t>Visual-SRP – No Cutting</w:t>
      </w:r>
      <w:r w:rsidR="00044B5F">
        <w:t>,</w:t>
      </w:r>
      <w:r w:rsidRPr="00EB67B4">
        <w:t xml:space="preserve"> No Stitching</w:t>
      </w:r>
    </w:p>
    <w:p w:rsidR="007372C7" w:rsidRDefault="007372C7" w:rsidP="00A5373D">
      <w:pPr>
        <w:pStyle w:val="Heading1"/>
      </w:pPr>
      <w:r>
        <w:t>FINANCIAL MODEL</w:t>
      </w:r>
    </w:p>
    <w:p w:rsidR="007372C7" w:rsidRDefault="007372C7" w:rsidP="00A5373D">
      <w:r>
        <w:t>The company will sell its $10,000 DOU directly to Dentists and Registered Dental Hygienists. Every time the DOU i</w:t>
      </w:r>
      <w:r w:rsidR="00CC6AF2">
        <w:t>s used the Dental Clinicians use</w:t>
      </w:r>
      <w:r>
        <w:t xml:space="preserve"> a factory sterilized disposable sheath. This </w:t>
      </w:r>
      <w:r w:rsidR="00CC6AF2">
        <w:t xml:space="preserve">recurring revenue </w:t>
      </w:r>
      <w:r>
        <w:t xml:space="preserve">generates </w:t>
      </w:r>
      <w:proofErr w:type="gramStart"/>
      <w:r w:rsidR="00A5373D">
        <w:t>an additional</w:t>
      </w:r>
      <w:proofErr w:type="gramEnd"/>
      <w:r w:rsidR="00CC6AF2">
        <w:t xml:space="preserve"> $50,000 to $150,000</w:t>
      </w:r>
      <w:r>
        <w:t xml:space="preserve"> revenue </w:t>
      </w:r>
      <w:r w:rsidR="00044B5F">
        <w:t xml:space="preserve">for PerioEndoscopy </w:t>
      </w:r>
      <w:r>
        <w:t xml:space="preserve">over the life of the DOU. </w:t>
      </w:r>
    </w:p>
    <w:p w:rsidR="00A5373D" w:rsidRDefault="00A5373D" w:rsidP="00A5373D">
      <w:pPr>
        <w:pStyle w:val="Heading1"/>
      </w:pPr>
      <w:r>
        <w:t>BUSINESS MODEL</w:t>
      </w:r>
    </w:p>
    <w:p w:rsidR="00A5373D" w:rsidRDefault="00A5373D" w:rsidP="00A5373D">
      <w:r>
        <w:t>PerioEndoscopy, LLC will use qualified and FDA certified contract manufacturing</w:t>
      </w:r>
      <w:r w:rsidR="00CC6AF2">
        <w:t xml:space="preserve"> to produce its products. Thus,</w:t>
      </w:r>
      <w:r>
        <w:t xml:space="preserve"> maintaining lower overhead and lower </w:t>
      </w:r>
      <w:r w:rsidR="00993694">
        <w:t>costs overall.</w:t>
      </w:r>
    </w:p>
    <w:p w:rsidR="00A5373D" w:rsidRDefault="00A5373D" w:rsidP="00A5373D">
      <w:pPr>
        <w:pStyle w:val="Heading1"/>
      </w:pPr>
      <w:r>
        <w:lastRenderedPageBreak/>
        <w:t>SALES AND MARKETING</w:t>
      </w:r>
    </w:p>
    <w:p w:rsidR="00A5373D" w:rsidRDefault="00A5373D" w:rsidP="00A5373D">
      <w:r w:rsidRPr="00132335">
        <w:t xml:space="preserve">The dental community is a finite </w:t>
      </w:r>
      <w:r w:rsidR="00993694">
        <w:t xml:space="preserve">and </w:t>
      </w:r>
      <w:r w:rsidRPr="00132335">
        <w:t xml:space="preserve">easily identifiable market. With PerioEndoscopy’s introduction of a high definition dental endoscope, </w:t>
      </w:r>
      <w:r>
        <w:t xml:space="preserve">the company will market directly to the known market. </w:t>
      </w:r>
      <w:r w:rsidR="00CC6AF2">
        <w:t>However, initial</w:t>
      </w:r>
      <w:r w:rsidRPr="00132335">
        <w:t xml:space="preserve"> direct marketing will be made </w:t>
      </w:r>
      <w:r w:rsidR="00CC6AF2">
        <w:t xml:space="preserve">to the current dental </w:t>
      </w:r>
      <w:r w:rsidRPr="00132335">
        <w:t>users</w:t>
      </w:r>
      <w:r w:rsidR="00CC6AF2">
        <w:t xml:space="preserve"> of a competitive DOU</w:t>
      </w:r>
      <w:r>
        <w:t xml:space="preserve"> to capture the lucr</w:t>
      </w:r>
      <w:r w:rsidR="00044B5F">
        <w:t>ative consumables revenue</w:t>
      </w:r>
      <w:r w:rsidR="00993694">
        <w:t xml:space="preserve"> they currently enjoy</w:t>
      </w:r>
      <w:r w:rsidR="00044B5F">
        <w:t>. The n</w:t>
      </w:r>
      <w:r>
        <w:t xml:space="preserve">ational roll-out will be accomplished in geographic phases to concentrate sales resources in high value target areas. Specifically, there are six states that represent 33% of the market. Those </w:t>
      </w:r>
      <w:r w:rsidR="00CC6AF2">
        <w:t>six states wi</w:t>
      </w:r>
      <w:r w:rsidR="00044B5F">
        <w:t xml:space="preserve">ll be the first </w:t>
      </w:r>
      <w:r w:rsidR="00993694">
        <w:t xml:space="preserve">to be </w:t>
      </w:r>
      <w:r w:rsidR="00044B5F">
        <w:t>addressed by the company’s direct sales employees</w:t>
      </w:r>
      <w:r>
        <w:t>.</w:t>
      </w:r>
    </w:p>
    <w:p w:rsidR="00A5373D" w:rsidRDefault="00DE39A8" w:rsidP="00DE39A8">
      <w:pPr>
        <w:pStyle w:val="Heading1"/>
      </w:pPr>
      <w:r>
        <w:t>THE MARKET</w:t>
      </w:r>
    </w:p>
    <w:p w:rsidR="00DE39A8" w:rsidRDefault="008B7859" w:rsidP="00DE39A8">
      <w:r w:rsidRPr="007372C7">
        <w:rPr>
          <w:noProof/>
        </w:rPr>
        <w:drawing>
          <wp:anchor distT="0" distB="0" distL="114300" distR="114300" simplePos="0" relativeHeight="251659264" behindDoc="1" locked="0" layoutInCell="1" allowOverlap="1" wp14:anchorId="0FCB74D8" wp14:editId="0B4E3B45">
            <wp:simplePos x="0" y="0"/>
            <wp:positionH relativeFrom="column">
              <wp:posOffset>-3657600</wp:posOffset>
            </wp:positionH>
            <wp:positionV relativeFrom="paragraph">
              <wp:posOffset>2342515</wp:posOffset>
            </wp:positionV>
            <wp:extent cx="3192780" cy="1741170"/>
            <wp:effectExtent l="0" t="0" r="7620" b="0"/>
            <wp:wrapTight wrapText="bothSides">
              <wp:wrapPolygon edited="0">
                <wp:start x="0" y="0"/>
                <wp:lineTo x="0" y="21269"/>
                <wp:lineTo x="21523" y="21269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SR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9A8">
        <w:t>In the United States alone there are 150,000 dentists and 200,000 dental hygienists. Full market penetration in the U.S. makes this a $3 Billion Market.</w:t>
      </w:r>
    </w:p>
    <w:p w:rsidR="00DE39A8" w:rsidRDefault="00DE39A8" w:rsidP="00DE39A8">
      <w:pPr>
        <w:pStyle w:val="Heading1"/>
        <w:rPr>
          <w:caps/>
        </w:rPr>
      </w:pPr>
      <w:r w:rsidRPr="00DE39A8">
        <w:rPr>
          <w:caps/>
        </w:rPr>
        <w:t xml:space="preserve">Intellectual property </w:t>
      </w:r>
    </w:p>
    <w:p w:rsidR="00DE39A8" w:rsidRDefault="00CC6AF2" w:rsidP="00DE39A8">
      <w:r>
        <w:t>The company has filed two Provisional P</w:t>
      </w:r>
      <w:r w:rsidR="00DE39A8">
        <w:t xml:space="preserve">atent applications </w:t>
      </w:r>
      <w:r>
        <w:t>to protect its</w:t>
      </w:r>
      <w:r w:rsidR="00DE39A8">
        <w:t xml:space="preserve"> design ideas. More patent opportunities exist</w:t>
      </w:r>
      <w:r>
        <w:t xml:space="preserve"> and will be filed. </w:t>
      </w:r>
    </w:p>
    <w:p w:rsidR="00DE39A8" w:rsidRDefault="00DE39A8" w:rsidP="00DE39A8">
      <w:pPr>
        <w:pStyle w:val="Heading1"/>
      </w:pPr>
      <w:r>
        <w:t>FDA</w:t>
      </w:r>
    </w:p>
    <w:p w:rsidR="00DE39A8" w:rsidRDefault="00DE39A8" w:rsidP="00DE39A8">
      <w:r>
        <w:t xml:space="preserve">The company’s DOU is a Class I </w:t>
      </w:r>
      <w:r w:rsidR="00CC6AF2">
        <w:t>Medical Device requiring only</w:t>
      </w:r>
      <w:r>
        <w:t xml:space="preserve"> a 510k application without the time consuming and expensive clinical trials. The company will be able to go to market 90 days after the 510k application is submitted to the FDA.</w:t>
      </w:r>
    </w:p>
    <w:p w:rsidR="00DE39A8" w:rsidRDefault="00DE39A8" w:rsidP="00DE39A8">
      <w:pPr>
        <w:pStyle w:val="Heading1"/>
      </w:pPr>
      <w:r>
        <w:t>THE TEAM</w:t>
      </w:r>
    </w:p>
    <w:p w:rsidR="00DE39A8" w:rsidRDefault="00044B5F" w:rsidP="00DE39A8">
      <w:r>
        <w:t>The Management T</w:t>
      </w:r>
      <w:r w:rsidR="00DE39A8">
        <w:t>eam, supported by its board of directors represents extensive experience with start-ups and in the industry. The CEO, Michael Austin</w:t>
      </w:r>
      <w:r w:rsidR="00CC6AF2">
        <w:t>,</w:t>
      </w:r>
      <w:r w:rsidR="00DE39A8">
        <w:t xml:space="preserve"> has previously led two start-ups with successful exits. The company’s Chief Science Officer, Dr. Chad Kennedy, was formally the CEO of Restorative Biosciences.  Board members include</w:t>
      </w:r>
      <w:r>
        <w:t>, Periodo</w:t>
      </w:r>
      <w:r w:rsidR="00993694">
        <w:t>ntal University Professors, p</w:t>
      </w:r>
      <w:r>
        <w:t>racticing</w:t>
      </w:r>
      <w:r w:rsidR="00DE39A8">
        <w:t xml:space="preserve"> Periodontists and an Investment Banker, formerly on the board of Delta Dental. </w:t>
      </w:r>
    </w:p>
    <w:p w:rsidR="00044B5F" w:rsidRDefault="00044B5F" w:rsidP="002B28D3">
      <w:pPr>
        <w:pStyle w:val="Heading1"/>
      </w:pPr>
    </w:p>
    <w:p w:rsidR="00DE39A8" w:rsidRDefault="002B28D3" w:rsidP="002B28D3">
      <w:pPr>
        <w:pStyle w:val="Heading1"/>
      </w:pPr>
      <w:r>
        <w:t>EB-5 INVESTOR</w:t>
      </w:r>
    </w:p>
    <w:p w:rsidR="002B28D3" w:rsidRDefault="00285252" w:rsidP="002B28D3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412380" wp14:editId="48FBD9B7">
            <wp:simplePos x="0" y="0"/>
            <wp:positionH relativeFrom="column">
              <wp:posOffset>3597910</wp:posOffset>
            </wp:positionH>
            <wp:positionV relativeFrom="paragraph">
              <wp:posOffset>464185</wp:posOffset>
            </wp:positionV>
            <wp:extent cx="3199765" cy="1779905"/>
            <wp:effectExtent l="0" t="0" r="635" b="0"/>
            <wp:wrapTight wrapText="bothSides">
              <wp:wrapPolygon edited="0">
                <wp:start x="0" y="0"/>
                <wp:lineTo x="0" y="21269"/>
                <wp:lineTo x="21476" y="21269"/>
                <wp:lineTo x="214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D3">
        <w:t xml:space="preserve">PerioEndoscopy, LLC </w:t>
      </w:r>
      <w:r w:rsidR="002B28D3" w:rsidRPr="00ED65D9">
        <w:t xml:space="preserve">will </w:t>
      </w:r>
      <w:r w:rsidR="002B28D3">
        <w:t xml:space="preserve">accept </w:t>
      </w:r>
      <w:r w:rsidR="003C3573">
        <w:t>one (</w:t>
      </w:r>
      <w:r w:rsidR="002B28D3">
        <w:t>1</w:t>
      </w:r>
      <w:r w:rsidR="003C3573">
        <w:t>)</w:t>
      </w:r>
      <w:r w:rsidR="002B28D3">
        <w:t xml:space="preserve"> EB-5 investor as</w:t>
      </w:r>
      <w:r w:rsidR="00CC6AF2">
        <w:t xml:space="preserve"> a</w:t>
      </w:r>
      <w:r w:rsidR="002B28D3">
        <w:t xml:space="preserve"> </w:t>
      </w:r>
      <w:r w:rsidR="002B28D3">
        <w:rPr>
          <w:i/>
        </w:rPr>
        <w:t>Limited Partner</w:t>
      </w:r>
      <w:r w:rsidR="002B28D3" w:rsidRPr="003E775D">
        <w:rPr>
          <w:i/>
        </w:rPr>
        <w:t xml:space="preserve"> with all the rights and responsibilities accorded under the Uniform Limited Partnership Act </w:t>
      </w:r>
      <w:r w:rsidR="002B28D3">
        <w:t>as adopted by the State of Arizona in satisfaction of the “policy formulation” requiremen</w:t>
      </w:r>
      <w:r w:rsidR="00044B5F">
        <w:t>t of 8</w:t>
      </w:r>
      <w:r w:rsidR="003C3573">
        <w:t>C.F.R.</w:t>
      </w:r>
      <w:r w:rsidR="00044B5F">
        <w:t xml:space="preserve"> </w:t>
      </w:r>
      <w:r w:rsidR="003C3573">
        <w:t xml:space="preserve">204.6(j)(5)(iii) and as in agreement with EB-5 criteria. </w:t>
      </w:r>
      <w:r w:rsidR="002B28D3">
        <w:t xml:space="preserve">As a minimum </w:t>
      </w:r>
      <w:r w:rsidR="002B28D3">
        <w:rPr>
          <w:i/>
        </w:rPr>
        <w:t xml:space="preserve">the </w:t>
      </w:r>
      <w:r w:rsidR="00CC6AF2">
        <w:rPr>
          <w:i/>
        </w:rPr>
        <w:t>EB-5 I</w:t>
      </w:r>
      <w:r w:rsidR="002B28D3" w:rsidRPr="003E775D">
        <w:rPr>
          <w:i/>
        </w:rPr>
        <w:t>nvestor</w:t>
      </w:r>
      <w:r w:rsidR="002B28D3">
        <w:t xml:space="preserve"> will have a seat on the board of directors with </w:t>
      </w:r>
      <w:r w:rsidR="002B28D3" w:rsidRPr="007E20E7">
        <w:rPr>
          <w:b/>
          <w:i/>
        </w:rPr>
        <w:t>policy making responsibilities</w:t>
      </w:r>
      <w:r w:rsidR="002B28D3" w:rsidRPr="007E20E7">
        <w:rPr>
          <w:b/>
        </w:rPr>
        <w:t>.</w:t>
      </w:r>
    </w:p>
    <w:p w:rsidR="002B28D3" w:rsidRDefault="002B28D3" w:rsidP="002B28D3">
      <w:r>
        <w:t xml:space="preserve">The EB-5 investor will receive a </w:t>
      </w:r>
      <w:r w:rsidR="00CC6AF2">
        <w:t>16.67</w:t>
      </w:r>
      <w:r>
        <w:t xml:space="preserve">% stake in the company for the $500,000 investment. Return on Investment </w:t>
      </w:r>
      <w:r w:rsidR="006B1A0C">
        <w:t xml:space="preserve">will </w:t>
      </w:r>
      <w:r>
        <w:t>be in accord wit</w:t>
      </w:r>
      <w:r w:rsidR="003C3573">
        <w:t xml:space="preserve">h the EB-5 program. </w:t>
      </w:r>
      <w:r w:rsidR="00044B5F">
        <w:t>Correspondingly</w:t>
      </w:r>
      <w:r>
        <w:t>, the EB-5 Investo</w:t>
      </w:r>
      <w:r w:rsidR="006B1A0C">
        <w:t>r’s re</w:t>
      </w:r>
      <w:r>
        <w:t>turn</w:t>
      </w:r>
      <w:r w:rsidR="00CC6AF2">
        <w:t>, if any,</w:t>
      </w:r>
      <w:r>
        <w:t xml:space="preserve"> </w:t>
      </w:r>
      <w:r w:rsidR="006B1A0C">
        <w:t xml:space="preserve">will be calculated on the same basis as existing equity stake holders, based </w:t>
      </w:r>
      <w:r w:rsidR="00365DAB">
        <w:t xml:space="preserve">on </w:t>
      </w:r>
      <w:r w:rsidR="006B1A0C">
        <w:t xml:space="preserve">the </w:t>
      </w:r>
      <w:r>
        <w:t xml:space="preserve">percentage of ownership of </w:t>
      </w:r>
      <w:r w:rsidR="006B1A0C">
        <w:t>each stakeholder</w:t>
      </w:r>
      <w:r w:rsidR="00CD67D0">
        <w:t>. The company’s Operating Agreement will include Buy</w:t>
      </w:r>
      <w:r w:rsidR="003C3573">
        <w:t>/</w:t>
      </w:r>
      <w:r w:rsidR="00CD67D0">
        <w:t xml:space="preserve">Sell criteria. </w:t>
      </w:r>
    </w:p>
    <w:p w:rsidR="00CD67D0" w:rsidRDefault="00CD67D0" w:rsidP="00CD67D0">
      <w:pPr>
        <w:pStyle w:val="Heading1"/>
      </w:pPr>
      <w:r>
        <w:t>EB-5 DIRECT INVESMENT</w:t>
      </w:r>
    </w:p>
    <w:p w:rsidR="00CD67D0" w:rsidRPr="00CD67D0" w:rsidRDefault="00CD67D0" w:rsidP="00CD67D0">
      <w:r>
        <w:t>As a Direct Investment</w:t>
      </w:r>
      <w:r w:rsidR="00CC6AF2">
        <w:t>,</w:t>
      </w:r>
      <w:r>
        <w:t xml:space="preserve"> where the need is for just one EB-5 Investor, the Investor’</w:t>
      </w:r>
      <w:r w:rsidR="003C3573">
        <w:t>s</w:t>
      </w:r>
      <w:r w:rsidR="00CC6AF2">
        <w:t xml:space="preserve"> equity goes</w:t>
      </w:r>
      <w:r>
        <w:t xml:space="preserve"> to work immediately. No waiting for an indefinite period of time for </w:t>
      </w:r>
      <w:r w:rsidR="00993694">
        <w:t xml:space="preserve">the </w:t>
      </w:r>
      <w:r>
        <w:t>many other Regional Center EB-5 Investors to be identified and sign</w:t>
      </w:r>
      <w:r w:rsidR="00044B5F">
        <w:t>ed</w:t>
      </w:r>
      <w:r>
        <w:t xml:space="preserve"> up for the same project. </w:t>
      </w:r>
    </w:p>
    <w:p w:rsidR="00CD67D0" w:rsidRDefault="00CD67D0" w:rsidP="00CD67D0">
      <w:pPr>
        <w:pStyle w:val="Heading1"/>
      </w:pPr>
      <w:r>
        <w:t>TARGETED EMPLOYMET AREA (TEA)</w:t>
      </w:r>
    </w:p>
    <w:p w:rsidR="00CD67D0" w:rsidRDefault="00285252" w:rsidP="00CD67D0">
      <w:r>
        <w:rPr>
          <w:noProof/>
        </w:rPr>
        <w:drawing>
          <wp:anchor distT="0" distB="0" distL="114300" distR="114300" simplePos="0" relativeHeight="251661312" behindDoc="1" locked="0" layoutInCell="1" allowOverlap="1" wp14:anchorId="5097DAC9" wp14:editId="6CB14215">
            <wp:simplePos x="0" y="0"/>
            <wp:positionH relativeFrom="column">
              <wp:posOffset>38735</wp:posOffset>
            </wp:positionH>
            <wp:positionV relativeFrom="paragraph">
              <wp:posOffset>833755</wp:posOffset>
            </wp:positionV>
            <wp:extent cx="2987675" cy="2016760"/>
            <wp:effectExtent l="0" t="0" r="3175" b="2540"/>
            <wp:wrapTight wrapText="bothSides">
              <wp:wrapPolygon edited="0">
                <wp:start x="0" y="0"/>
                <wp:lineTo x="0" y="21423"/>
                <wp:lineTo x="21485" y="21423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-Scottsda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7D0">
        <w:t xml:space="preserve">The company is located in a </w:t>
      </w:r>
      <w:r w:rsidR="009D4FAD">
        <w:t xml:space="preserve">census </w:t>
      </w:r>
      <w:r w:rsidR="00CD67D0">
        <w:t xml:space="preserve">tract, certified by the Arizona Commerce Authority (ACA) as a TEA.  This certification </w:t>
      </w:r>
      <w:r w:rsidR="00044B5F">
        <w:t>allows for an EB-5 Investor to i</w:t>
      </w:r>
      <w:r w:rsidR="00CD67D0">
        <w:t>nvest at the current $500,000 minimum level.</w:t>
      </w:r>
    </w:p>
    <w:p w:rsidR="00CD67D0" w:rsidRPr="006A529C" w:rsidRDefault="00CD67D0" w:rsidP="00CD67D0">
      <w:pPr>
        <w:rPr>
          <w:sz w:val="16"/>
          <w:szCs w:val="16"/>
        </w:rPr>
      </w:pPr>
    </w:p>
    <w:p w:rsidR="006A529C" w:rsidRDefault="006A529C" w:rsidP="00202554">
      <w:pPr>
        <w:pStyle w:val="Heading1"/>
      </w:pPr>
    </w:p>
    <w:p w:rsidR="00202554" w:rsidRDefault="00202554" w:rsidP="00202554">
      <w:pPr>
        <w:pStyle w:val="Heading1"/>
      </w:pPr>
      <w:r>
        <w:t>JOB CREATING ENTERPRISE</w:t>
      </w:r>
    </w:p>
    <w:p w:rsidR="00202554" w:rsidRPr="00202554" w:rsidRDefault="00202554" w:rsidP="00202554">
      <w:r>
        <w:t xml:space="preserve">The company will hire </w:t>
      </w:r>
      <w:r w:rsidR="00207451">
        <w:t>an additional 10-12 Direct, Full</w:t>
      </w:r>
      <w:r w:rsidR="003C3573">
        <w:t>-</w:t>
      </w:r>
      <w:r w:rsidR="00207451">
        <w:t>Time employees</w:t>
      </w:r>
      <w:r>
        <w:t xml:space="preserve">, within the first two years </w:t>
      </w:r>
    </w:p>
    <w:p w:rsidR="00202554" w:rsidRDefault="00207451" w:rsidP="00202554">
      <w:pPr>
        <w:pStyle w:val="Heading1"/>
      </w:pPr>
      <w:r>
        <w:t>PRO-FORMA</w:t>
      </w:r>
    </w:p>
    <w:p w:rsidR="003C3573" w:rsidRDefault="00207451" w:rsidP="00207451">
      <w:r w:rsidRPr="00207451">
        <w:rPr>
          <w:noProof/>
        </w:rPr>
        <w:drawing>
          <wp:inline distT="0" distB="0" distL="0" distR="0" wp14:anchorId="4901B2FC" wp14:editId="613C4776">
            <wp:extent cx="3200400" cy="107811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73" w:rsidRDefault="003C3573" w:rsidP="003C3573">
      <w:pPr>
        <w:pStyle w:val="Heading1"/>
      </w:pPr>
      <w:r>
        <w:t>EB-5 COMPLIANCE</w:t>
      </w:r>
    </w:p>
    <w:p w:rsidR="00CA723C" w:rsidRDefault="00C745D9" w:rsidP="00D22309">
      <w:pPr>
        <w:spacing w:after="120"/>
      </w:pPr>
      <w:r w:rsidRPr="003C3573">
        <w:t>Compl</w:t>
      </w:r>
      <w:r w:rsidR="009D4FAD">
        <w:t>iance to EB-5 Criteria w</w:t>
      </w:r>
      <w:r w:rsidR="003C3573">
        <w:t>ill be m</w:t>
      </w:r>
      <w:r w:rsidRPr="003C3573">
        <w:t xml:space="preserve">onitored by </w:t>
      </w:r>
      <w:r w:rsidR="003C3573">
        <w:t>an Independent Third Party d</w:t>
      </w:r>
      <w:r w:rsidRPr="003C3573">
        <w:t xml:space="preserve">uring </w:t>
      </w:r>
      <w:r w:rsidR="003C3573">
        <w:t>the critical first two y</w:t>
      </w:r>
      <w:r w:rsidRPr="003C3573">
        <w:t xml:space="preserve">ears of </w:t>
      </w:r>
      <w:r w:rsidR="003C3573">
        <w:t>the Project, a</w:t>
      </w:r>
      <w:r w:rsidRPr="003C3573">
        <w:t>fter EB-5 Funding</w:t>
      </w:r>
      <w:r w:rsidR="003C3573">
        <w:t>.</w:t>
      </w:r>
    </w:p>
    <w:p w:rsidR="003C3573" w:rsidRDefault="003C3573" w:rsidP="003C3573">
      <w:pPr>
        <w:pStyle w:val="Heading1"/>
      </w:pPr>
      <w:r>
        <w:t>SHORT WINDOW OF OPPORTUNITY</w:t>
      </w:r>
    </w:p>
    <w:p w:rsidR="003C3573" w:rsidRDefault="003C3573" w:rsidP="00CC6AF2">
      <w:pPr>
        <w:spacing w:after="0"/>
      </w:pPr>
      <w:r>
        <w:t xml:space="preserve">The current EB-5 program expires September 30, 2015. </w:t>
      </w:r>
      <w:r w:rsidR="009D4FAD">
        <w:t xml:space="preserve">The U.S. </w:t>
      </w:r>
      <w:r w:rsidR="00044B5F">
        <w:t>Congress</w:t>
      </w:r>
      <w:r w:rsidR="009D4FAD">
        <w:t>’</w:t>
      </w:r>
      <w:r>
        <w:t xml:space="preserve"> indecision on the details of a renewed EB-5 Green Card program </w:t>
      </w:r>
      <w:r w:rsidR="009D4FAD">
        <w:t>h</w:t>
      </w:r>
      <w:r>
        <w:t>as resulted in a short term extension of the current program, maybe weeks, maybe months. However, it seems certain that the Minim</w:t>
      </w:r>
      <w:r w:rsidR="009D4FAD">
        <w:t xml:space="preserve">um investment will increase </w:t>
      </w:r>
      <w:r>
        <w:t>to $80</w:t>
      </w:r>
      <w:r w:rsidR="00CC6AF2">
        <w:t>0,000.</w:t>
      </w:r>
      <w:r>
        <w:t xml:space="preserve"> Interested EB-5 Investors should act now if they wish to take advantage </w:t>
      </w:r>
      <w:r w:rsidR="00285252">
        <w:t>of the current $500,000 minimum investment.</w:t>
      </w:r>
      <w:r>
        <w:t xml:space="preserve"> </w:t>
      </w:r>
    </w:p>
    <w:p w:rsidR="003C3573" w:rsidRDefault="003C3573" w:rsidP="003C3573">
      <w:pPr>
        <w:pStyle w:val="Heading1"/>
      </w:pPr>
      <w:r>
        <w:t>CONTACT INFORMATION</w:t>
      </w:r>
    </w:p>
    <w:p w:rsidR="00D22309" w:rsidRPr="00D22309" w:rsidRDefault="00D22309" w:rsidP="00D22309">
      <w:pPr>
        <w:spacing w:after="0"/>
      </w:pPr>
      <w:r>
        <w:t>Michael Austin</w:t>
      </w:r>
    </w:p>
    <w:p w:rsidR="003C3573" w:rsidRDefault="001B2B15" w:rsidP="00D22309">
      <w:pPr>
        <w:spacing w:after="0"/>
      </w:pPr>
      <w:hyperlink r:id="rId15" w:history="1">
        <w:r w:rsidR="003C3573" w:rsidRPr="0092657B">
          <w:rPr>
            <w:rStyle w:val="Hyperlink"/>
          </w:rPr>
          <w:t>Michael@PerioEndoscopy.com</w:t>
        </w:r>
      </w:hyperlink>
      <w:r w:rsidR="003C3573">
        <w:t xml:space="preserve"> +1-480-717-4807</w:t>
      </w:r>
    </w:p>
    <w:p w:rsidR="00D22309" w:rsidRDefault="00D22309" w:rsidP="00D22309">
      <w:pPr>
        <w:spacing w:after="0"/>
      </w:pPr>
      <w:r>
        <w:t>Julie Fletcher</w:t>
      </w:r>
    </w:p>
    <w:p w:rsidR="003C3573" w:rsidRPr="003C3573" w:rsidRDefault="001B2B15" w:rsidP="00CC6AF2">
      <w:pPr>
        <w:spacing w:after="0"/>
      </w:pPr>
      <w:hyperlink r:id="rId16" w:history="1">
        <w:r w:rsidR="00352AF9" w:rsidRPr="00BE28E3">
          <w:rPr>
            <w:rStyle w:val="Hyperlink"/>
          </w:rPr>
          <w:t>JFletcher@Lanick.com</w:t>
        </w:r>
      </w:hyperlink>
      <w:r w:rsidR="00D22309">
        <w:t xml:space="preserve"> +1-</w:t>
      </w:r>
      <w:r w:rsidR="00D22309" w:rsidRPr="00D22309">
        <w:t>(480) 406-0096</w:t>
      </w:r>
    </w:p>
    <w:sectPr w:rsidR="003C3573" w:rsidRPr="003C3573" w:rsidSect="001C4884">
      <w:type w:val="continuous"/>
      <w:pgSz w:w="12240" w:h="15840" w:code="1"/>
      <w:pgMar w:top="1238" w:right="720" w:bottom="576" w:left="72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15" w:rsidRDefault="001B2B15" w:rsidP="00DE39A8">
      <w:pPr>
        <w:spacing w:after="0" w:line="240" w:lineRule="auto"/>
      </w:pPr>
      <w:r>
        <w:separator/>
      </w:r>
    </w:p>
  </w:endnote>
  <w:endnote w:type="continuationSeparator" w:id="0">
    <w:p w:rsidR="001B2B15" w:rsidRDefault="001B2B15" w:rsidP="00D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0" w:rsidRPr="00CD67D0" w:rsidRDefault="00CD67D0">
    <w:pPr>
      <w:pStyle w:val="Footer"/>
      <w:rPr>
        <w:color w:val="D9D9D9" w:themeColor="background1" w:themeShade="D9"/>
      </w:rPr>
    </w:pPr>
    <w:r w:rsidRPr="00CD67D0">
      <w:rPr>
        <w:color w:val="D9D9D9" w:themeColor="background1" w:themeShade="D9"/>
      </w:rPr>
      <w:fldChar w:fldCharType="begin"/>
    </w:r>
    <w:r w:rsidRPr="00CD67D0">
      <w:rPr>
        <w:color w:val="D9D9D9" w:themeColor="background1" w:themeShade="D9"/>
      </w:rPr>
      <w:instrText xml:space="preserve"> FILENAME   \* MERGEFORMAT </w:instrText>
    </w:r>
    <w:r w:rsidRPr="00CD67D0">
      <w:rPr>
        <w:color w:val="D9D9D9" w:themeColor="background1" w:themeShade="D9"/>
      </w:rPr>
      <w:fldChar w:fldCharType="separate"/>
    </w:r>
    <w:r w:rsidR="006A529C">
      <w:rPr>
        <w:noProof/>
        <w:color w:val="D9D9D9" w:themeColor="background1" w:themeShade="D9"/>
      </w:rPr>
      <w:t>EB-5 FLYER SUMMARY.docx</w:t>
    </w:r>
    <w:r w:rsidRPr="00CD67D0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15" w:rsidRDefault="001B2B15" w:rsidP="00DE39A8">
      <w:pPr>
        <w:spacing w:after="0" w:line="240" w:lineRule="auto"/>
      </w:pPr>
      <w:r>
        <w:separator/>
      </w:r>
    </w:p>
  </w:footnote>
  <w:footnote w:type="continuationSeparator" w:id="0">
    <w:p w:rsidR="001B2B15" w:rsidRDefault="001B2B15" w:rsidP="00DE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A8" w:rsidRPr="00A5373D" w:rsidRDefault="00DE39A8" w:rsidP="00DE39A8">
    <w:pPr>
      <w:rPr>
        <w:b/>
        <w:color w:val="0000CC"/>
        <w:sz w:val="20"/>
        <w:szCs w:val="2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A5373D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8F7F2C" wp14:editId="6C0E84F0">
          <wp:simplePos x="0" y="0"/>
          <wp:positionH relativeFrom="column">
            <wp:posOffset>1857375</wp:posOffset>
          </wp:positionH>
          <wp:positionV relativeFrom="paragraph">
            <wp:posOffset>-304165</wp:posOffset>
          </wp:positionV>
          <wp:extent cx="3151505" cy="593090"/>
          <wp:effectExtent l="0" t="0" r="0" b="0"/>
          <wp:wrapTight wrapText="bothSides">
            <wp:wrapPolygon edited="0">
              <wp:start x="0" y="0"/>
              <wp:lineTo x="0" y="20814"/>
              <wp:lineTo x="21413" y="20814"/>
              <wp:lineTo x="214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YK-9x2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A8" w:rsidRPr="00A5373D" w:rsidRDefault="00DE39A8" w:rsidP="001C4884">
    <w:pPr>
      <w:spacing w:after="0"/>
      <w:jc w:val="center"/>
      <w:rPr>
        <w:b/>
        <w:color w:val="0000CC"/>
        <w:sz w:val="36"/>
        <w:szCs w:val="36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A5373D">
      <w:rPr>
        <w:b/>
        <w:color w:val="0000CC"/>
        <w:sz w:val="36"/>
        <w:szCs w:val="36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A DIRECT EB-5 INVESTMENT OPPORTUNITY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94F"/>
    <w:multiLevelType w:val="hybridMultilevel"/>
    <w:tmpl w:val="B274BDDC"/>
    <w:lvl w:ilvl="0" w:tplc="215651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0B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20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0B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44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C5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8F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0D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05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E3"/>
    <w:rsid w:val="00021E88"/>
    <w:rsid w:val="00044B5F"/>
    <w:rsid w:val="00122E78"/>
    <w:rsid w:val="00152DFA"/>
    <w:rsid w:val="001A602D"/>
    <w:rsid w:val="001B2B15"/>
    <w:rsid w:val="001C4884"/>
    <w:rsid w:val="00202554"/>
    <w:rsid w:val="00207451"/>
    <w:rsid w:val="00285252"/>
    <w:rsid w:val="002B28D3"/>
    <w:rsid w:val="002D3478"/>
    <w:rsid w:val="002E2FDF"/>
    <w:rsid w:val="00300DF4"/>
    <w:rsid w:val="003206ED"/>
    <w:rsid w:val="00352AF9"/>
    <w:rsid w:val="00365DAB"/>
    <w:rsid w:val="003C3573"/>
    <w:rsid w:val="00480AC7"/>
    <w:rsid w:val="004C6DB6"/>
    <w:rsid w:val="005C09F2"/>
    <w:rsid w:val="00697711"/>
    <w:rsid w:val="006A529C"/>
    <w:rsid w:val="006B1A0C"/>
    <w:rsid w:val="007372C7"/>
    <w:rsid w:val="00807E97"/>
    <w:rsid w:val="00862B1A"/>
    <w:rsid w:val="008B7859"/>
    <w:rsid w:val="00930B9E"/>
    <w:rsid w:val="00985375"/>
    <w:rsid w:val="00993694"/>
    <w:rsid w:val="009D4FAD"/>
    <w:rsid w:val="009E5A5D"/>
    <w:rsid w:val="00A5373D"/>
    <w:rsid w:val="00BB4442"/>
    <w:rsid w:val="00C745D9"/>
    <w:rsid w:val="00CA723C"/>
    <w:rsid w:val="00CC0BE3"/>
    <w:rsid w:val="00CC6AF2"/>
    <w:rsid w:val="00CD67D0"/>
    <w:rsid w:val="00D22309"/>
    <w:rsid w:val="00DE39A8"/>
    <w:rsid w:val="00E57309"/>
    <w:rsid w:val="00EB67B4"/>
    <w:rsid w:val="00EE7745"/>
    <w:rsid w:val="00F0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3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375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0000CC"/>
      <w:sz w:val="28"/>
      <w:szCs w:val="28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Lanick TOC"/>
    <w:basedOn w:val="TOC3"/>
    <w:next w:val="Normal"/>
    <w:link w:val="TOC2Char"/>
    <w:autoRedefine/>
    <w:uiPriority w:val="39"/>
    <w:unhideWhenUsed/>
    <w:qFormat/>
    <w:rsid w:val="009E5A5D"/>
    <w:pPr>
      <w:tabs>
        <w:tab w:val="right" w:leader="dot" w:pos="8630"/>
      </w:tabs>
      <w:spacing w:after="0" w:line="240" w:lineRule="auto"/>
      <w:ind w:left="446"/>
    </w:pPr>
    <w:rPr>
      <w:rFonts w:ascii="Century Gothic" w:hAnsi="Century Gothic"/>
      <w:smallCaps/>
      <w:noProof/>
      <w:color w:val="0000CC"/>
      <w:sz w:val="28"/>
    </w:rPr>
  </w:style>
  <w:style w:type="character" w:customStyle="1" w:styleId="TOC2Char">
    <w:name w:val="TOC 2 Char"/>
    <w:aliases w:val="Lanick TOC Char"/>
    <w:basedOn w:val="DefaultParagraphFont"/>
    <w:link w:val="TOC2"/>
    <w:uiPriority w:val="39"/>
    <w:rsid w:val="009E5A5D"/>
    <w:rPr>
      <w:rFonts w:ascii="Century Gothic" w:hAnsi="Century Gothic"/>
      <w:smallCaps/>
      <w:noProof/>
      <w:color w:val="0000CC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5A5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375"/>
    <w:rPr>
      <w:rFonts w:eastAsiaTheme="majorEastAsia" w:cstheme="majorBidi"/>
      <w:b/>
      <w:bCs/>
      <w:color w:val="0000CC"/>
      <w:sz w:val="28"/>
      <w:szCs w:val="28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EB67B4"/>
    <w:pPr>
      <w:numPr>
        <w:ilvl w:val="1"/>
      </w:numPr>
      <w:spacing w:after="0"/>
      <w:jc w:val="center"/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7B4"/>
    <w:rPr>
      <w:rFonts w:eastAsiaTheme="majorEastAsia" w:cstheme="majorBidi"/>
      <w:b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A8"/>
  </w:style>
  <w:style w:type="paragraph" w:styleId="Footer">
    <w:name w:val="footer"/>
    <w:basedOn w:val="Normal"/>
    <w:link w:val="FooterChar"/>
    <w:uiPriority w:val="99"/>
    <w:unhideWhenUsed/>
    <w:rsid w:val="00DE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A8"/>
  </w:style>
  <w:style w:type="character" w:styleId="Hyperlink">
    <w:name w:val="Hyperlink"/>
    <w:basedOn w:val="DefaultParagraphFont"/>
    <w:uiPriority w:val="99"/>
    <w:unhideWhenUsed/>
    <w:rsid w:val="003C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3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375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0000CC"/>
      <w:sz w:val="28"/>
      <w:szCs w:val="28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Lanick TOC"/>
    <w:basedOn w:val="TOC3"/>
    <w:next w:val="Normal"/>
    <w:link w:val="TOC2Char"/>
    <w:autoRedefine/>
    <w:uiPriority w:val="39"/>
    <w:unhideWhenUsed/>
    <w:qFormat/>
    <w:rsid w:val="009E5A5D"/>
    <w:pPr>
      <w:tabs>
        <w:tab w:val="right" w:leader="dot" w:pos="8630"/>
      </w:tabs>
      <w:spacing w:after="0" w:line="240" w:lineRule="auto"/>
      <w:ind w:left="446"/>
    </w:pPr>
    <w:rPr>
      <w:rFonts w:ascii="Century Gothic" w:hAnsi="Century Gothic"/>
      <w:smallCaps/>
      <w:noProof/>
      <w:color w:val="0000CC"/>
      <w:sz w:val="28"/>
    </w:rPr>
  </w:style>
  <w:style w:type="character" w:customStyle="1" w:styleId="TOC2Char">
    <w:name w:val="TOC 2 Char"/>
    <w:aliases w:val="Lanick TOC Char"/>
    <w:basedOn w:val="DefaultParagraphFont"/>
    <w:link w:val="TOC2"/>
    <w:uiPriority w:val="39"/>
    <w:rsid w:val="009E5A5D"/>
    <w:rPr>
      <w:rFonts w:ascii="Century Gothic" w:hAnsi="Century Gothic"/>
      <w:smallCaps/>
      <w:noProof/>
      <w:color w:val="0000CC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5A5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375"/>
    <w:rPr>
      <w:rFonts w:eastAsiaTheme="majorEastAsia" w:cstheme="majorBidi"/>
      <w:b/>
      <w:bCs/>
      <w:color w:val="0000CC"/>
      <w:sz w:val="28"/>
      <w:szCs w:val="28"/>
      <w14:shadow w14:blurRad="63500" w14:dist="50800" w14:dir="18900000" w14:sx="0" w14:sy="0" w14:kx="0" w14:ky="0" w14:algn="none">
        <w14:srgbClr w14:val="000000">
          <w14:alpha w14:val="5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EB67B4"/>
    <w:pPr>
      <w:numPr>
        <w:ilvl w:val="1"/>
      </w:numPr>
      <w:spacing w:after="0"/>
      <w:jc w:val="center"/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7B4"/>
    <w:rPr>
      <w:rFonts w:eastAsiaTheme="majorEastAsia" w:cstheme="majorBidi"/>
      <w:b/>
      <w:i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A8"/>
  </w:style>
  <w:style w:type="paragraph" w:styleId="Footer">
    <w:name w:val="footer"/>
    <w:basedOn w:val="Normal"/>
    <w:link w:val="FooterChar"/>
    <w:uiPriority w:val="99"/>
    <w:unhideWhenUsed/>
    <w:rsid w:val="00DE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A8"/>
  </w:style>
  <w:style w:type="character" w:styleId="Hyperlink">
    <w:name w:val="Hyperlink"/>
    <w:basedOn w:val="DefaultParagraphFont"/>
    <w:uiPriority w:val="99"/>
    <w:unhideWhenUsed/>
    <w:rsid w:val="003C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Fletcher@Lanick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Michael@PerioEndoscopy.com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Austi</dc:creator>
  <cp:lastModifiedBy>Michael Austi</cp:lastModifiedBy>
  <cp:revision>7</cp:revision>
  <cp:lastPrinted>2015-09-14T06:47:00Z</cp:lastPrinted>
  <dcterms:created xsi:type="dcterms:W3CDTF">2015-09-14T04:20:00Z</dcterms:created>
  <dcterms:modified xsi:type="dcterms:W3CDTF">2015-09-14T06:49:00Z</dcterms:modified>
</cp:coreProperties>
</file>